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36" w:rsidRPr="005A27B2" w:rsidRDefault="006A2236" w:rsidP="006A729C">
      <w:pPr>
        <w:ind w:left="6379"/>
        <w:jc w:val="right"/>
      </w:pPr>
      <w:bookmarkStart w:id="0" w:name="_GoBack"/>
      <w:bookmarkEnd w:id="0"/>
      <w:r w:rsidRPr="005A27B2">
        <w:t xml:space="preserve">Приложение к </w:t>
      </w:r>
      <w:r w:rsidR="006A729C">
        <w:t>прогнозу социально-экономического развития</w:t>
      </w:r>
      <w:r w:rsidR="006A729C">
        <w:br/>
        <w:t>города Твери на долгосрочный период до 2022 года</w:t>
      </w:r>
      <w:r w:rsidR="006A729C">
        <w:br/>
        <w:t xml:space="preserve"> </w:t>
      </w:r>
    </w:p>
    <w:p w:rsidR="0037029A" w:rsidRPr="00F72B09" w:rsidRDefault="006A2236" w:rsidP="006A2236">
      <w:pPr>
        <w:tabs>
          <w:tab w:val="left" w:pos="7350"/>
        </w:tabs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232E">
        <w:t xml:space="preserve">            </w:t>
      </w:r>
    </w:p>
    <w:p w:rsidR="00FD232E" w:rsidRDefault="00FD232E" w:rsidP="0037029A">
      <w:pPr>
        <w:tabs>
          <w:tab w:val="left" w:pos="7350"/>
        </w:tabs>
        <w:jc w:val="center"/>
      </w:pPr>
    </w:p>
    <w:p w:rsidR="003F3886" w:rsidRPr="00811638" w:rsidRDefault="003F3886" w:rsidP="0037029A">
      <w:pPr>
        <w:tabs>
          <w:tab w:val="left" w:pos="7350"/>
        </w:tabs>
        <w:jc w:val="center"/>
      </w:pPr>
    </w:p>
    <w:p w:rsidR="00811638" w:rsidRPr="00811638" w:rsidRDefault="0037029A" w:rsidP="00811638">
      <w:pPr>
        <w:tabs>
          <w:tab w:val="left" w:pos="7350"/>
        </w:tabs>
        <w:jc w:val="center"/>
        <w:rPr>
          <w:b/>
          <w:sz w:val="26"/>
          <w:szCs w:val="26"/>
        </w:rPr>
      </w:pPr>
      <w:r w:rsidRPr="00811638">
        <w:rPr>
          <w:b/>
          <w:sz w:val="26"/>
          <w:szCs w:val="26"/>
        </w:rPr>
        <w:t>Перечень основных показателей, необходимых для формирования прогноза</w:t>
      </w:r>
      <w:r w:rsidR="00811638" w:rsidRPr="00811638">
        <w:rPr>
          <w:b/>
          <w:sz w:val="26"/>
          <w:szCs w:val="26"/>
        </w:rPr>
        <w:t xml:space="preserve"> </w:t>
      </w:r>
      <w:r w:rsidRPr="00811638">
        <w:rPr>
          <w:b/>
          <w:sz w:val="26"/>
          <w:szCs w:val="26"/>
        </w:rPr>
        <w:t xml:space="preserve">социально-экономического развития </w:t>
      </w:r>
    </w:p>
    <w:p w:rsidR="0037029A" w:rsidRPr="00811638" w:rsidRDefault="0037029A" w:rsidP="00811638">
      <w:pPr>
        <w:tabs>
          <w:tab w:val="left" w:pos="7350"/>
        </w:tabs>
        <w:jc w:val="center"/>
        <w:rPr>
          <w:b/>
          <w:sz w:val="26"/>
          <w:szCs w:val="26"/>
        </w:rPr>
      </w:pPr>
      <w:r w:rsidRPr="00811638">
        <w:rPr>
          <w:b/>
          <w:sz w:val="26"/>
          <w:szCs w:val="26"/>
        </w:rPr>
        <w:t>города Твери</w:t>
      </w:r>
      <w:r w:rsidR="00811638" w:rsidRPr="00811638">
        <w:rPr>
          <w:b/>
          <w:sz w:val="26"/>
          <w:szCs w:val="26"/>
        </w:rPr>
        <w:t xml:space="preserve"> </w:t>
      </w:r>
      <w:r w:rsidRPr="00811638">
        <w:rPr>
          <w:b/>
          <w:sz w:val="26"/>
          <w:szCs w:val="26"/>
        </w:rPr>
        <w:t>на долгосрочный период</w:t>
      </w:r>
    </w:p>
    <w:p w:rsidR="0037029A" w:rsidRDefault="0037029A" w:rsidP="00811638">
      <w:pPr>
        <w:tabs>
          <w:tab w:val="left" w:pos="7350"/>
        </w:tabs>
        <w:jc w:val="center"/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3935"/>
        <w:gridCol w:w="1247"/>
        <w:gridCol w:w="1176"/>
        <w:gridCol w:w="1176"/>
        <w:gridCol w:w="1195"/>
        <w:gridCol w:w="1196"/>
        <w:gridCol w:w="1196"/>
        <w:gridCol w:w="1195"/>
        <w:gridCol w:w="1196"/>
        <w:gridCol w:w="1196"/>
      </w:tblGrid>
      <w:tr w:rsidR="009855B2" w:rsidRPr="00811638" w:rsidTr="00FD232E">
        <w:trPr>
          <w:trHeight w:val="136"/>
        </w:trPr>
        <w:tc>
          <w:tcPr>
            <w:tcW w:w="372" w:type="dxa"/>
            <w:vMerge w:val="restart"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108" w:right="-108"/>
              <w:jc w:val="center"/>
            </w:pPr>
            <w:r w:rsidRPr="00811638">
              <w:t>№</w:t>
            </w:r>
          </w:p>
          <w:p w:rsidR="009855B2" w:rsidRPr="00811638" w:rsidRDefault="009855B2" w:rsidP="00811638">
            <w:pPr>
              <w:tabs>
                <w:tab w:val="left" w:pos="7350"/>
              </w:tabs>
              <w:ind w:left="-108" w:right="-108"/>
              <w:jc w:val="center"/>
            </w:pPr>
            <w:proofErr w:type="gramStart"/>
            <w:r w:rsidRPr="00811638">
              <w:t>п</w:t>
            </w:r>
            <w:proofErr w:type="gramEnd"/>
            <w:r w:rsidRPr="00811638">
              <w:t>/п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jc w:val="center"/>
            </w:pPr>
            <w:r w:rsidRPr="00811638">
              <w:t>Показатели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Единица измерения</w:t>
            </w:r>
          </w:p>
        </w:tc>
        <w:tc>
          <w:tcPr>
            <w:tcW w:w="0" w:type="auto"/>
            <w:vMerge w:val="restart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2015</w:t>
            </w:r>
          </w:p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факт</w:t>
            </w:r>
          </w:p>
        </w:tc>
        <w:tc>
          <w:tcPr>
            <w:tcW w:w="0" w:type="auto"/>
            <w:vMerge w:val="restart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2016</w:t>
            </w:r>
          </w:p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оценка</w:t>
            </w:r>
          </w:p>
        </w:tc>
        <w:tc>
          <w:tcPr>
            <w:tcW w:w="7174" w:type="dxa"/>
            <w:gridSpan w:val="6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Прогноз</w:t>
            </w:r>
          </w:p>
        </w:tc>
      </w:tr>
      <w:tr w:rsidR="009855B2" w:rsidRPr="00811638" w:rsidTr="00FD232E">
        <w:trPr>
          <w:trHeight w:val="125"/>
        </w:trPr>
        <w:tc>
          <w:tcPr>
            <w:tcW w:w="372" w:type="dxa"/>
            <w:vMerge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jc w:val="center"/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</w:p>
        </w:tc>
        <w:tc>
          <w:tcPr>
            <w:tcW w:w="1195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2017</w:t>
            </w:r>
          </w:p>
        </w:tc>
        <w:tc>
          <w:tcPr>
            <w:tcW w:w="1196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2018</w:t>
            </w:r>
          </w:p>
        </w:tc>
        <w:tc>
          <w:tcPr>
            <w:tcW w:w="1196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2019</w:t>
            </w:r>
          </w:p>
        </w:tc>
        <w:tc>
          <w:tcPr>
            <w:tcW w:w="1195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2020</w:t>
            </w:r>
          </w:p>
        </w:tc>
        <w:tc>
          <w:tcPr>
            <w:tcW w:w="1196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2021</w:t>
            </w:r>
          </w:p>
        </w:tc>
        <w:tc>
          <w:tcPr>
            <w:tcW w:w="1196" w:type="dxa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2022</w:t>
            </w:r>
          </w:p>
        </w:tc>
      </w:tr>
      <w:tr w:rsidR="009855B2" w:rsidRPr="00811638" w:rsidTr="008E72FC">
        <w:trPr>
          <w:trHeight w:val="70"/>
        </w:trPr>
        <w:tc>
          <w:tcPr>
            <w:tcW w:w="372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108" w:right="-108"/>
              <w:jc w:val="center"/>
            </w:pPr>
            <w:r w:rsidRPr="00811638">
              <w:t>1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jc w:val="center"/>
            </w:pPr>
            <w:r w:rsidRPr="00811638">
              <w:t>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5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8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9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10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855B2" w:rsidRPr="00811638" w:rsidRDefault="009855B2" w:rsidP="00811638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11</w:t>
            </w:r>
          </w:p>
        </w:tc>
      </w:tr>
      <w:tr w:rsidR="00A004A5" w:rsidRPr="00811638" w:rsidTr="00A004A5">
        <w:tc>
          <w:tcPr>
            <w:tcW w:w="372" w:type="dxa"/>
            <w:vMerge w:val="restart"/>
            <w:shd w:val="clear" w:color="auto" w:fill="auto"/>
            <w:vAlign w:val="center"/>
          </w:tcPr>
          <w:p w:rsidR="00A004A5" w:rsidRPr="00811638" w:rsidRDefault="00A004A5" w:rsidP="00811638">
            <w:pPr>
              <w:tabs>
                <w:tab w:val="left" w:pos="7350"/>
              </w:tabs>
              <w:ind w:left="-108" w:right="-108"/>
              <w:jc w:val="center"/>
            </w:pPr>
            <w:r w:rsidRPr="00811638">
              <w:t>1.</w:t>
            </w:r>
          </w:p>
        </w:tc>
        <w:tc>
          <w:tcPr>
            <w:tcW w:w="3935" w:type="dxa"/>
            <w:shd w:val="clear" w:color="auto" w:fill="auto"/>
            <w:vAlign w:val="bottom"/>
          </w:tcPr>
          <w:p w:rsidR="00A004A5" w:rsidRPr="00811638" w:rsidRDefault="00A004A5" w:rsidP="00811638">
            <w:pPr>
              <w:widowControl w:val="0"/>
            </w:pPr>
            <w:r w:rsidRPr="00811638">
              <w:t>Среднегодовая численность постоянного населения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04A5" w:rsidRPr="00811638" w:rsidRDefault="00A004A5" w:rsidP="00811638">
            <w:pPr>
              <w:widowControl w:val="0"/>
              <w:jc w:val="center"/>
            </w:pPr>
            <w:r w:rsidRPr="00811638">
              <w:t>тыс. чел.</w:t>
            </w:r>
          </w:p>
        </w:tc>
        <w:tc>
          <w:tcPr>
            <w:tcW w:w="0" w:type="auto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415,2</w:t>
            </w:r>
          </w:p>
        </w:tc>
        <w:tc>
          <w:tcPr>
            <w:tcW w:w="0" w:type="auto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417,6</w:t>
            </w:r>
          </w:p>
        </w:tc>
        <w:tc>
          <w:tcPr>
            <w:tcW w:w="1195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419,9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422,1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424,4</w:t>
            </w:r>
          </w:p>
        </w:tc>
        <w:tc>
          <w:tcPr>
            <w:tcW w:w="1195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426,6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428,6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</w:pPr>
            <w:r w:rsidRPr="00DD49DD">
              <w:t>430,5</w:t>
            </w:r>
          </w:p>
        </w:tc>
      </w:tr>
      <w:tr w:rsidR="00A004A5" w:rsidRPr="00811638" w:rsidTr="00A004A5">
        <w:trPr>
          <w:trHeight w:val="281"/>
        </w:trPr>
        <w:tc>
          <w:tcPr>
            <w:tcW w:w="372" w:type="dxa"/>
            <w:vMerge/>
            <w:shd w:val="clear" w:color="auto" w:fill="auto"/>
            <w:vAlign w:val="center"/>
          </w:tcPr>
          <w:p w:rsidR="00A004A5" w:rsidRPr="00811638" w:rsidRDefault="00A004A5" w:rsidP="00811638">
            <w:pPr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935" w:type="dxa"/>
            <w:shd w:val="clear" w:color="auto" w:fill="auto"/>
            <w:vAlign w:val="bottom"/>
          </w:tcPr>
          <w:p w:rsidR="00A004A5" w:rsidRPr="00811638" w:rsidRDefault="00A004A5" w:rsidP="00811638">
            <w:pPr>
              <w:widowControl w:val="0"/>
            </w:pPr>
            <w:r w:rsidRPr="00811638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04A5" w:rsidRPr="00811638" w:rsidRDefault="00A004A5" w:rsidP="00811638">
            <w:pPr>
              <w:widowControl w:val="0"/>
              <w:jc w:val="center"/>
            </w:pPr>
            <w:r w:rsidRPr="00811638">
              <w:t>%</w:t>
            </w:r>
          </w:p>
        </w:tc>
        <w:tc>
          <w:tcPr>
            <w:tcW w:w="0" w:type="auto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100,7</w:t>
            </w:r>
          </w:p>
        </w:tc>
        <w:tc>
          <w:tcPr>
            <w:tcW w:w="0" w:type="auto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100,6</w:t>
            </w:r>
          </w:p>
        </w:tc>
        <w:tc>
          <w:tcPr>
            <w:tcW w:w="1195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100,5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100,5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100,5</w:t>
            </w:r>
          </w:p>
        </w:tc>
        <w:tc>
          <w:tcPr>
            <w:tcW w:w="1195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100,5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100,5</w:t>
            </w:r>
          </w:p>
        </w:tc>
        <w:tc>
          <w:tcPr>
            <w:tcW w:w="1196" w:type="dxa"/>
            <w:vAlign w:val="center"/>
          </w:tcPr>
          <w:p w:rsidR="00A004A5" w:rsidRPr="00DD49DD" w:rsidRDefault="00A004A5" w:rsidP="00A004A5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100,4</w:t>
            </w:r>
          </w:p>
        </w:tc>
      </w:tr>
      <w:tr w:rsidR="00811638" w:rsidRPr="00811638" w:rsidTr="00A004A5">
        <w:tc>
          <w:tcPr>
            <w:tcW w:w="372" w:type="dxa"/>
            <w:vMerge w:val="restart"/>
            <w:shd w:val="clear" w:color="auto" w:fill="auto"/>
            <w:vAlign w:val="center"/>
          </w:tcPr>
          <w:p w:rsidR="00811638" w:rsidRPr="00811638" w:rsidRDefault="00811638" w:rsidP="00811638">
            <w:pPr>
              <w:tabs>
                <w:tab w:val="left" w:pos="7350"/>
              </w:tabs>
              <w:ind w:left="-108" w:right="-108"/>
              <w:jc w:val="center"/>
            </w:pPr>
            <w:r w:rsidRPr="0081163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811638" w:rsidRPr="00811638" w:rsidRDefault="00811638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Объем отгруженных товаров собственного производства, выполненных работ и услуг </w:t>
            </w:r>
            <w:r w:rsidR="00A004A5">
              <w:rPr>
                <w:rFonts w:eastAsia="Calibri"/>
                <w:lang w:eastAsia="en-US"/>
              </w:rPr>
              <w:br/>
            </w:r>
            <w:r w:rsidRPr="00811638">
              <w:rPr>
                <w:rFonts w:eastAsia="Calibri"/>
                <w:lang w:eastAsia="en-US"/>
              </w:rPr>
              <w:t>в действующих ценах, всего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11638" w:rsidRPr="00811638" w:rsidRDefault="00811638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811638" w:rsidRPr="00DD49DD" w:rsidRDefault="009554EC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77 785</w:t>
            </w:r>
          </w:p>
        </w:tc>
        <w:tc>
          <w:tcPr>
            <w:tcW w:w="0" w:type="auto"/>
            <w:vAlign w:val="center"/>
          </w:tcPr>
          <w:p w:rsidR="00811638" w:rsidRPr="00DD49DD" w:rsidRDefault="009554EC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83 798</w:t>
            </w:r>
          </w:p>
        </w:tc>
        <w:tc>
          <w:tcPr>
            <w:tcW w:w="1195" w:type="dxa"/>
            <w:vAlign w:val="center"/>
          </w:tcPr>
          <w:p w:rsidR="00811638" w:rsidRPr="00DD49DD" w:rsidRDefault="009554EC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95 292</w:t>
            </w:r>
          </w:p>
        </w:tc>
        <w:tc>
          <w:tcPr>
            <w:tcW w:w="1196" w:type="dxa"/>
            <w:vAlign w:val="center"/>
          </w:tcPr>
          <w:p w:rsidR="00811638" w:rsidRPr="00DD49DD" w:rsidRDefault="009554EC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101 364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107 079</w:t>
            </w:r>
          </w:p>
        </w:tc>
        <w:tc>
          <w:tcPr>
            <w:tcW w:w="1195" w:type="dxa"/>
            <w:vAlign w:val="center"/>
          </w:tcPr>
          <w:p w:rsidR="00811638" w:rsidRPr="00DD49DD" w:rsidRDefault="00D61503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111 638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116 353 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D61503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121 255</w:t>
            </w:r>
          </w:p>
        </w:tc>
      </w:tr>
      <w:tr w:rsidR="00DD49DD" w:rsidRPr="00DD49DD" w:rsidTr="00A004A5">
        <w:tc>
          <w:tcPr>
            <w:tcW w:w="372" w:type="dxa"/>
            <w:vMerge/>
            <w:shd w:val="clear" w:color="auto" w:fill="auto"/>
            <w:vAlign w:val="center"/>
          </w:tcPr>
          <w:p w:rsidR="00811638" w:rsidRPr="00811638" w:rsidRDefault="00811638" w:rsidP="00811638">
            <w:pPr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935" w:type="dxa"/>
            <w:shd w:val="clear" w:color="auto" w:fill="auto"/>
          </w:tcPr>
          <w:p w:rsidR="00811638" w:rsidRPr="00811638" w:rsidRDefault="00811638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11638" w:rsidRPr="00811638" w:rsidRDefault="00811638" w:rsidP="00811638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811638" w:rsidRPr="00DD49DD" w:rsidRDefault="009554EC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0" w:type="auto"/>
            <w:vAlign w:val="center"/>
          </w:tcPr>
          <w:p w:rsidR="00811638" w:rsidRPr="00DD49DD" w:rsidRDefault="009554EC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107,7</w:t>
            </w:r>
          </w:p>
        </w:tc>
        <w:tc>
          <w:tcPr>
            <w:tcW w:w="1195" w:type="dxa"/>
            <w:vAlign w:val="center"/>
          </w:tcPr>
          <w:p w:rsidR="00811638" w:rsidRPr="00DD49DD" w:rsidRDefault="009554EC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113,7</w:t>
            </w:r>
          </w:p>
        </w:tc>
        <w:tc>
          <w:tcPr>
            <w:tcW w:w="1196" w:type="dxa"/>
            <w:vAlign w:val="center"/>
          </w:tcPr>
          <w:p w:rsidR="00811638" w:rsidRPr="00DD49DD" w:rsidRDefault="009554EC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106,4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105,6</w:t>
            </w:r>
          </w:p>
        </w:tc>
        <w:tc>
          <w:tcPr>
            <w:tcW w:w="1195" w:type="dxa"/>
            <w:vAlign w:val="center"/>
          </w:tcPr>
          <w:p w:rsidR="00811638" w:rsidRPr="00DD49DD" w:rsidRDefault="00D61503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104,3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104,2</w:t>
            </w:r>
          </w:p>
        </w:tc>
        <w:tc>
          <w:tcPr>
            <w:tcW w:w="1196" w:type="dxa"/>
            <w:vAlign w:val="center"/>
          </w:tcPr>
          <w:p w:rsidR="00811638" w:rsidRPr="00DD49DD" w:rsidRDefault="00D61503" w:rsidP="00A004A5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104,2 </w:t>
            </w:r>
          </w:p>
        </w:tc>
      </w:tr>
      <w:tr w:rsidR="00DD49DD" w:rsidRPr="00DD49DD" w:rsidTr="00A004A5">
        <w:tc>
          <w:tcPr>
            <w:tcW w:w="372" w:type="dxa"/>
            <w:vMerge w:val="restart"/>
            <w:shd w:val="clear" w:color="auto" w:fill="auto"/>
          </w:tcPr>
          <w:p w:rsidR="00DD49DD" w:rsidRPr="00811638" w:rsidRDefault="00DD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935" w:type="dxa"/>
            <w:shd w:val="clear" w:color="auto" w:fill="auto"/>
          </w:tcPr>
          <w:p w:rsidR="00DD49DD" w:rsidRPr="00811638" w:rsidRDefault="00DD49DD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proofErr w:type="gramStart"/>
            <w:r w:rsidRPr="00811638">
              <w:rPr>
                <w:rFonts w:eastAsia="Calibri"/>
                <w:lang w:eastAsia="en-US"/>
              </w:rPr>
              <w:t>Фонд оплаты труда</w:t>
            </w:r>
            <w:r w:rsidR="008823FE">
              <w:rPr>
                <w:rFonts w:eastAsia="Calibri"/>
                <w:lang w:eastAsia="en-US"/>
              </w:rPr>
              <w:t xml:space="preserve"> </w:t>
            </w:r>
            <w:r w:rsidR="008823FE" w:rsidRPr="008823FE">
              <w:rPr>
                <w:rFonts w:eastAsia="Calibri"/>
                <w:vertAlign w:val="superscript"/>
                <w:lang w:eastAsia="en-US"/>
              </w:rPr>
              <w:t>*)</w:t>
            </w:r>
            <w:proofErr w:type="gramEnd"/>
          </w:p>
        </w:tc>
        <w:tc>
          <w:tcPr>
            <w:tcW w:w="1247" w:type="dxa"/>
            <w:shd w:val="clear" w:color="auto" w:fill="auto"/>
            <w:vAlign w:val="center"/>
          </w:tcPr>
          <w:p w:rsidR="00DD49DD" w:rsidRPr="00811638" w:rsidRDefault="00DD49DD" w:rsidP="00DD49DD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млн</w:t>
            </w:r>
            <w:r w:rsidRPr="00811638">
              <w:rPr>
                <w:rFonts w:eastAsia="Calibri"/>
                <w:lang w:eastAsia="en-US"/>
              </w:rPr>
              <w:t>. руб.</w:t>
            </w:r>
          </w:p>
        </w:tc>
        <w:tc>
          <w:tcPr>
            <w:tcW w:w="0" w:type="auto"/>
            <w:vAlign w:val="center"/>
          </w:tcPr>
          <w:p w:rsidR="00DD49DD" w:rsidRPr="00DD49DD" w:rsidRDefault="00DD49DD">
            <w:pPr>
              <w:jc w:val="center"/>
            </w:pPr>
            <w:r w:rsidRPr="00DD49DD">
              <w:t>51 781,4</w:t>
            </w:r>
          </w:p>
        </w:tc>
        <w:tc>
          <w:tcPr>
            <w:tcW w:w="0" w:type="auto"/>
            <w:vAlign w:val="center"/>
          </w:tcPr>
          <w:p w:rsidR="00DD49DD" w:rsidRPr="00976FA2" w:rsidRDefault="00DD49DD">
            <w:pPr>
              <w:jc w:val="center"/>
            </w:pPr>
            <w:r w:rsidRPr="00976FA2">
              <w:t>52 197,9</w:t>
            </w:r>
          </w:p>
        </w:tc>
        <w:tc>
          <w:tcPr>
            <w:tcW w:w="1195" w:type="dxa"/>
            <w:vAlign w:val="center"/>
          </w:tcPr>
          <w:p w:rsidR="00DD49DD" w:rsidRPr="00976FA2" w:rsidRDefault="000228A1">
            <w:pPr>
              <w:jc w:val="center"/>
            </w:pPr>
            <w:r w:rsidRPr="00976FA2">
              <w:t>55 499,5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  <w:rPr>
                <w:sz w:val="22"/>
              </w:rPr>
            </w:pPr>
            <w:r w:rsidRPr="00976FA2">
              <w:rPr>
                <w:sz w:val="22"/>
              </w:rPr>
              <w:t>56 615,6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</w:pPr>
            <w:r w:rsidRPr="00976FA2">
              <w:t>58 427,2</w:t>
            </w:r>
          </w:p>
        </w:tc>
        <w:tc>
          <w:tcPr>
            <w:tcW w:w="1195" w:type="dxa"/>
            <w:vAlign w:val="center"/>
          </w:tcPr>
          <w:p w:rsidR="00DD49DD" w:rsidRPr="00976FA2" w:rsidRDefault="00DD49DD">
            <w:pPr>
              <w:jc w:val="center"/>
            </w:pPr>
            <w:r w:rsidRPr="00976FA2">
              <w:t>60 608,4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</w:pPr>
            <w:r w:rsidRPr="00976FA2">
              <w:t>63 052,9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</w:pPr>
            <w:r w:rsidRPr="00976FA2">
              <w:t>65 554,0</w:t>
            </w:r>
          </w:p>
        </w:tc>
      </w:tr>
      <w:tr w:rsidR="00DD49DD" w:rsidRPr="00DD49DD" w:rsidTr="00A004A5">
        <w:tc>
          <w:tcPr>
            <w:tcW w:w="372" w:type="dxa"/>
            <w:vMerge/>
            <w:shd w:val="clear" w:color="auto" w:fill="auto"/>
          </w:tcPr>
          <w:p w:rsidR="00DD49DD" w:rsidRPr="00811638" w:rsidRDefault="00DD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shd w:val="clear" w:color="auto" w:fill="auto"/>
          </w:tcPr>
          <w:p w:rsidR="00DD49DD" w:rsidRPr="00811638" w:rsidRDefault="00DD49DD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D49DD" w:rsidRPr="00811638" w:rsidRDefault="00DD49DD" w:rsidP="00811638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DD49DD" w:rsidRPr="00DD49DD" w:rsidRDefault="00DD49DD">
            <w:pPr>
              <w:jc w:val="center"/>
              <w:rPr>
                <w:iCs/>
              </w:rPr>
            </w:pPr>
            <w:r w:rsidRPr="00DD49DD">
              <w:rPr>
                <w:iCs/>
              </w:rPr>
              <w:t>100,2</w:t>
            </w:r>
          </w:p>
        </w:tc>
        <w:tc>
          <w:tcPr>
            <w:tcW w:w="0" w:type="auto"/>
            <w:vAlign w:val="center"/>
          </w:tcPr>
          <w:p w:rsidR="00DD49DD" w:rsidRPr="00976FA2" w:rsidRDefault="00DD49DD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100,8</w:t>
            </w:r>
          </w:p>
        </w:tc>
        <w:tc>
          <w:tcPr>
            <w:tcW w:w="1195" w:type="dxa"/>
            <w:vAlign w:val="center"/>
          </w:tcPr>
          <w:p w:rsidR="00DD49DD" w:rsidRPr="00976FA2" w:rsidRDefault="000228A1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106,3</w:t>
            </w:r>
          </w:p>
        </w:tc>
        <w:tc>
          <w:tcPr>
            <w:tcW w:w="1196" w:type="dxa"/>
            <w:vAlign w:val="center"/>
          </w:tcPr>
          <w:p w:rsidR="00DD49DD" w:rsidRPr="00976FA2" w:rsidRDefault="000228A1">
            <w:pPr>
              <w:jc w:val="center"/>
              <w:rPr>
                <w:iCs/>
                <w:sz w:val="22"/>
              </w:rPr>
            </w:pPr>
            <w:r w:rsidRPr="00976FA2">
              <w:rPr>
                <w:iCs/>
                <w:sz w:val="22"/>
              </w:rPr>
              <w:t>102,0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103,2</w:t>
            </w:r>
          </w:p>
        </w:tc>
        <w:tc>
          <w:tcPr>
            <w:tcW w:w="1195" w:type="dxa"/>
            <w:vAlign w:val="center"/>
          </w:tcPr>
          <w:p w:rsidR="00DD49DD" w:rsidRPr="00976FA2" w:rsidRDefault="00DD49DD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103,7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104,0</w:t>
            </w:r>
          </w:p>
        </w:tc>
        <w:tc>
          <w:tcPr>
            <w:tcW w:w="1196" w:type="dxa"/>
            <w:vAlign w:val="center"/>
          </w:tcPr>
          <w:p w:rsidR="00DD49DD" w:rsidRPr="00976FA2" w:rsidRDefault="00DD49DD">
            <w:pPr>
              <w:jc w:val="center"/>
              <w:rPr>
                <w:iCs/>
              </w:rPr>
            </w:pPr>
            <w:r w:rsidRPr="00976FA2">
              <w:rPr>
                <w:iCs/>
              </w:rPr>
              <w:t>104,0</w:t>
            </w:r>
          </w:p>
        </w:tc>
      </w:tr>
      <w:tr w:rsidR="00287A10" w:rsidRPr="00DD49DD" w:rsidTr="00A004A5">
        <w:tc>
          <w:tcPr>
            <w:tcW w:w="372" w:type="dxa"/>
            <w:shd w:val="clear" w:color="auto" w:fill="auto"/>
          </w:tcPr>
          <w:p w:rsidR="00287A10" w:rsidRPr="00811638" w:rsidRDefault="00287A10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935" w:type="dxa"/>
            <w:shd w:val="clear" w:color="auto" w:fill="auto"/>
          </w:tcPr>
          <w:p w:rsidR="00287A10" w:rsidRDefault="00287A10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Численность </w:t>
            </w:r>
            <w:proofErr w:type="gramStart"/>
            <w:r w:rsidRPr="00811638">
              <w:rPr>
                <w:rFonts w:eastAsia="Calibri"/>
                <w:lang w:eastAsia="en-US"/>
              </w:rPr>
              <w:t>занятых</w:t>
            </w:r>
            <w:proofErr w:type="gramEnd"/>
          </w:p>
          <w:p w:rsidR="00287A10" w:rsidRPr="00811638" w:rsidRDefault="00287A10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в экономике города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823FE">
              <w:rPr>
                <w:rFonts w:eastAsia="Calibri"/>
                <w:vertAlign w:val="superscript"/>
                <w:lang w:eastAsia="en-US"/>
              </w:rPr>
              <w:t>*)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87A10" w:rsidRPr="00811638" w:rsidRDefault="00287A10" w:rsidP="00811638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тыс. </w:t>
            </w:r>
            <w:r w:rsidRPr="00811638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0" w:type="auto"/>
            <w:vAlign w:val="center"/>
          </w:tcPr>
          <w:p w:rsidR="00287A10" w:rsidRPr="00DD49DD" w:rsidRDefault="00287A10" w:rsidP="00B54884">
            <w:pPr>
              <w:jc w:val="center"/>
            </w:pPr>
            <w:r w:rsidRPr="00DD49DD">
              <w:t>211,0</w:t>
            </w:r>
          </w:p>
        </w:tc>
        <w:tc>
          <w:tcPr>
            <w:tcW w:w="0" w:type="auto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211,3</w:t>
            </w:r>
          </w:p>
        </w:tc>
        <w:tc>
          <w:tcPr>
            <w:tcW w:w="1195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211,8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  <w:rPr>
                <w:sz w:val="22"/>
              </w:rPr>
            </w:pPr>
            <w:r w:rsidRPr="00976FA2">
              <w:rPr>
                <w:sz w:val="22"/>
              </w:rPr>
              <w:t>212,2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212,3</w:t>
            </w:r>
          </w:p>
        </w:tc>
        <w:tc>
          <w:tcPr>
            <w:tcW w:w="1195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213,0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213,7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214,5</w:t>
            </w:r>
          </w:p>
        </w:tc>
      </w:tr>
      <w:tr w:rsidR="00287A10" w:rsidRPr="00811638" w:rsidTr="00FD688E">
        <w:trPr>
          <w:trHeight w:val="360"/>
        </w:trPr>
        <w:tc>
          <w:tcPr>
            <w:tcW w:w="372" w:type="dxa"/>
            <w:shd w:val="clear" w:color="auto" w:fill="auto"/>
          </w:tcPr>
          <w:p w:rsidR="00287A10" w:rsidRPr="00811638" w:rsidRDefault="00287A10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87A10" w:rsidRPr="00811638" w:rsidRDefault="00287A10" w:rsidP="00FD688E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Уровень безработицы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87A10" w:rsidRPr="00811638" w:rsidRDefault="00287A10" w:rsidP="00811638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287A10" w:rsidRPr="00DD49DD" w:rsidRDefault="00287A10" w:rsidP="00B54884">
            <w:pPr>
              <w:jc w:val="center"/>
            </w:pPr>
            <w:r w:rsidRPr="00DD49DD">
              <w:t>0,72</w:t>
            </w:r>
          </w:p>
        </w:tc>
        <w:tc>
          <w:tcPr>
            <w:tcW w:w="0" w:type="auto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0,68</w:t>
            </w:r>
          </w:p>
        </w:tc>
        <w:tc>
          <w:tcPr>
            <w:tcW w:w="1195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0,65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  <w:rPr>
                <w:sz w:val="22"/>
              </w:rPr>
            </w:pPr>
            <w:r w:rsidRPr="00976FA2">
              <w:rPr>
                <w:sz w:val="22"/>
              </w:rPr>
              <w:t>0,63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0,56</w:t>
            </w:r>
          </w:p>
        </w:tc>
        <w:tc>
          <w:tcPr>
            <w:tcW w:w="1195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0,55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0,45</w:t>
            </w:r>
          </w:p>
        </w:tc>
        <w:tc>
          <w:tcPr>
            <w:tcW w:w="1196" w:type="dxa"/>
            <w:vAlign w:val="center"/>
          </w:tcPr>
          <w:p w:rsidR="00287A10" w:rsidRPr="00976FA2" w:rsidRDefault="00287A10" w:rsidP="00B54884">
            <w:pPr>
              <w:jc w:val="center"/>
            </w:pPr>
            <w:r w:rsidRPr="00976FA2">
              <w:t>0,40</w:t>
            </w:r>
          </w:p>
        </w:tc>
      </w:tr>
      <w:tr w:rsidR="009449DD" w:rsidRPr="00811638" w:rsidTr="00A004A5">
        <w:tc>
          <w:tcPr>
            <w:tcW w:w="372" w:type="dxa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935" w:type="dxa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0" w:type="auto"/>
            <w:vAlign w:val="center"/>
          </w:tcPr>
          <w:p w:rsidR="009449DD" w:rsidRPr="009449DD" w:rsidRDefault="009449DD" w:rsidP="00CF2658">
            <w:pPr>
              <w:jc w:val="center"/>
              <w:rPr>
                <w:color w:val="000000"/>
              </w:rPr>
            </w:pPr>
            <w:r w:rsidRPr="009449DD">
              <w:rPr>
                <w:color w:val="000000"/>
              </w:rPr>
              <w:t>9</w:t>
            </w:r>
            <w:r w:rsidR="00A50883">
              <w:rPr>
                <w:color w:val="000000"/>
              </w:rPr>
              <w:t xml:space="preserve"> </w:t>
            </w:r>
            <w:r w:rsidRPr="009449DD">
              <w:rPr>
                <w:color w:val="000000"/>
              </w:rPr>
              <w:t>848</w:t>
            </w:r>
          </w:p>
        </w:tc>
        <w:tc>
          <w:tcPr>
            <w:tcW w:w="0" w:type="auto"/>
            <w:vAlign w:val="center"/>
          </w:tcPr>
          <w:p w:rsidR="009449DD" w:rsidRPr="00976FA2" w:rsidRDefault="009449DD" w:rsidP="00CF2658">
            <w:pPr>
              <w:jc w:val="center"/>
            </w:pPr>
            <w:r w:rsidRPr="00976FA2">
              <w:t>9</w:t>
            </w:r>
            <w:r w:rsidR="00A50883" w:rsidRPr="00976FA2">
              <w:t xml:space="preserve"> </w:t>
            </w:r>
            <w:r w:rsidRPr="00976FA2">
              <w:t>878</w:t>
            </w:r>
          </w:p>
        </w:tc>
        <w:tc>
          <w:tcPr>
            <w:tcW w:w="1195" w:type="dxa"/>
            <w:vAlign w:val="center"/>
          </w:tcPr>
          <w:p w:rsidR="009449DD" w:rsidRPr="00976FA2" w:rsidRDefault="009449DD" w:rsidP="00CF2658">
            <w:pPr>
              <w:jc w:val="center"/>
            </w:pPr>
            <w:r w:rsidRPr="00976FA2">
              <w:t>9</w:t>
            </w:r>
            <w:r w:rsidR="00A50883" w:rsidRPr="00976FA2">
              <w:t xml:space="preserve"> </w:t>
            </w:r>
            <w:r w:rsidRPr="00976FA2">
              <w:t>908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CF2658">
            <w:pPr>
              <w:jc w:val="center"/>
              <w:rPr>
                <w:sz w:val="22"/>
              </w:rPr>
            </w:pPr>
            <w:r w:rsidRPr="00976FA2">
              <w:rPr>
                <w:sz w:val="22"/>
              </w:rPr>
              <w:t>9</w:t>
            </w:r>
            <w:r w:rsidR="00A50883" w:rsidRPr="00976FA2">
              <w:rPr>
                <w:sz w:val="22"/>
              </w:rPr>
              <w:t xml:space="preserve"> </w:t>
            </w:r>
            <w:r w:rsidRPr="00976FA2">
              <w:rPr>
                <w:sz w:val="22"/>
              </w:rPr>
              <w:t>928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CF2658">
            <w:pPr>
              <w:jc w:val="center"/>
            </w:pPr>
            <w:r w:rsidRPr="00976FA2">
              <w:t>10</w:t>
            </w:r>
            <w:r w:rsidR="00A50883" w:rsidRPr="00976FA2">
              <w:t xml:space="preserve"> </w:t>
            </w:r>
            <w:r w:rsidRPr="00976FA2">
              <w:t>003</w:t>
            </w:r>
          </w:p>
        </w:tc>
        <w:tc>
          <w:tcPr>
            <w:tcW w:w="1195" w:type="dxa"/>
            <w:vAlign w:val="center"/>
          </w:tcPr>
          <w:p w:rsidR="009449DD" w:rsidRPr="00976FA2" w:rsidRDefault="009449DD" w:rsidP="00DB6E8C">
            <w:pPr>
              <w:jc w:val="center"/>
            </w:pPr>
            <w:r w:rsidRPr="00976FA2">
              <w:t>10</w:t>
            </w:r>
            <w:r w:rsidR="00A50883" w:rsidRPr="00976FA2">
              <w:t xml:space="preserve"> </w:t>
            </w:r>
            <w:r w:rsidR="00DB6E8C" w:rsidRPr="00976FA2">
              <w:t>203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DB6E8C">
            <w:pPr>
              <w:jc w:val="center"/>
            </w:pPr>
            <w:r w:rsidRPr="00976FA2">
              <w:t>10</w:t>
            </w:r>
            <w:r w:rsidR="00A50883" w:rsidRPr="00976FA2">
              <w:t xml:space="preserve"> </w:t>
            </w:r>
            <w:r w:rsidR="00DB6E8C" w:rsidRPr="00976FA2">
              <w:t>407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DB6E8C">
            <w:pPr>
              <w:jc w:val="center"/>
            </w:pPr>
            <w:r w:rsidRPr="00976FA2">
              <w:t>10</w:t>
            </w:r>
            <w:r w:rsidR="00A50883" w:rsidRPr="00976FA2">
              <w:t xml:space="preserve"> </w:t>
            </w:r>
            <w:r w:rsidR="00DB6E8C" w:rsidRPr="00976FA2">
              <w:t>619</w:t>
            </w:r>
          </w:p>
        </w:tc>
      </w:tr>
      <w:tr w:rsidR="009449DD" w:rsidRPr="00811638" w:rsidTr="00A004A5">
        <w:tc>
          <w:tcPr>
            <w:tcW w:w="372" w:type="dxa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449DD" w:rsidRDefault="009449DD" w:rsidP="00811638">
            <w:pPr>
              <w:widowControl w:val="0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Оборот  розничной торговли</w:t>
            </w:r>
          </w:p>
          <w:p w:rsidR="009449DD" w:rsidRPr="00811638" w:rsidRDefault="009449DD" w:rsidP="00811638">
            <w:pPr>
              <w:widowControl w:val="0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(во всех каналах реализации)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148 618,1</w:t>
            </w:r>
          </w:p>
        </w:tc>
        <w:tc>
          <w:tcPr>
            <w:tcW w:w="0" w:type="auto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160 061,7</w:t>
            </w:r>
          </w:p>
        </w:tc>
        <w:tc>
          <w:tcPr>
            <w:tcW w:w="1195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170 560,8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183 395,2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197 025,1</w:t>
            </w:r>
          </w:p>
        </w:tc>
        <w:tc>
          <w:tcPr>
            <w:tcW w:w="1195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213 102,3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231 599,6</w:t>
            </w:r>
          </w:p>
        </w:tc>
        <w:tc>
          <w:tcPr>
            <w:tcW w:w="1196" w:type="dxa"/>
            <w:vAlign w:val="center"/>
          </w:tcPr>
          <w:p w:rsidR="009449DD" w:rsidRPr="00976FA2" w:rsidRDefault="009449DD" w:rsidP="00A004A5">
            <w:pPr>
              <w:jc w:val="center"/>
            </w:pPr>
            <w:r w:rsidRPr="00976FA2">
              <w:t>252 906,8</w:t>
            </w:r>
          </w:p>
        </w:tc>
      </w:tr>
      <w:tr w:rsidR="009449DD" w:rsidRPr="00811638" w:rsidTr="00A004A5">
        <w:tc>
          <w:tcPr>
            <w:tcW w:w="372" w:type="dxa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9449DD" w:rsidRPr="00811638" w:rsidRDefault="009449DD" w:rsidP="00811638">
            <w:pPr>
              <w:widowControl w:val="0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811638">
              <w:rPr>
                <w:rFonts w:eastAsia="Calibri"/>
                <w:lang w:eastAsia="en-US"/>
              </w:rPr>
              <w:t>в</w:t>
            </w:r>
            <w:proofErr w:type="gramEnd"/>
            <w:r w:rsidRPr="00811638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811638">
              <w:rPr>
                <w:rFonts w:eastAsia="Calibri"/>
                <w:lang w:eastAsia="en-US"/>
              </w:rPr>
              <w:t>к</w:t>
            </w:r>
            <w:proofErr w:type="gramEnd"/>
            <w:r w:rsidRPr="00811638">
              <w:rPr>
                <w:rFonts w:eastAsia="Calibri"/>
                <w:lang w:eastAsia="en-US"/>
              </w:rPr>
              <w:t xml:space="preserve"> предыдущему году </w:t>
            </w:r>
            <w:r>
              <w:rPr>
                <w:rFonts w:eastAsia="Calibri"/>
                <w:lang w:eastAsia="en-US"/>
              </w:rPr>
              <w:br/>
            </w:r>
            <w:r w:rsidRPr="00811638">
              <w:rPr>
                <w:rFonts w:eastAsia="Calibri"/>
                <w:lang w:eastAsia="en-US"/>
              </w:rPr>
              <w:t>в сопоставимых ценах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89,8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100,0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101,1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102,6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103,3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104,0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104,5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jc w:val="center"/>
            </w:pPr>
            <w:r w:rsidRPr="00DD49DD">
              <w:t>105,0</w:t>
            </w:r>
          </w:p>
        </w:tc>
      </w:tr>
      <w:tr w:rsidR="009449DD" w:rsidRPr="00811638" w:rsidTr="00A004A5">
        <w:tc>
          <w:tcPr>
            <w:tcW w:w="372" w:type="dxa"/>
            <w:vMerge w:val="restart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935" w:type="dxa"/>
            <w:shd w:val="clear" w:color="auto" w:fill="auto"/>
            <w:vAlign w:val="bottom"/>
          </w:tcPr>
          <w:p w:rsidR="009449DD" w:rsidRPr="00811638" w:rsidRDefault="009449DD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17 267,4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18 009,9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19 252,6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20 619,5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21 856,7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23 495,9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24 858,7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26 747,9</w:t>
            </w:r>
          </w:p>
        </w:tc>
      </w:tr>
      <w:tr w:rsidR="009449DD" w:rsidRPr="00811638" w:rsidTr="00A004A5">
        <w:tc>
          <w:tcPr>
            <w:tcW w:w="372" w:type="dxa"/>
            <w:vMerge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shd w:val="clear" w:color="auto" w:fill="auto"/>
            <w:vAlign w:val="bottom"/>
          </w:tcPr>
          <w:p w:rsidR="009449DD" w:rsidRPr="00811638" w:rsidRDefault="009449DD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 Темп роста к предыдущему году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73,4</w:t>
            </w:r>
          </w:p>
        </w:tc>
        <w:tc>
          <w:tcPr>
            <w:tcW w:w="0" w:type="auto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104,3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106,9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107,1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106,0</w:t>
            </w:r>
          </w:p>
        </w:tc>
        <w:tc>
          <w:tcPr>
            <w:tcW w:w="1195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107,5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105,8</w:t>
            </w:r>
          </w:p>
        </w:tc>
        <w:tc>
          <w:tcPr>
            <w:tcW w:w="1196" w:type="dxa"/>
            <w:vAlign w:val="center"/>
          </w:tcPr>
          <w:p w:rsidR="009449DD" w:rsidRPr="00DD49DD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107,6</w:t>
            </w:r>
          </w:p>
        </w:tc>
      </w:tr>
      <w:tr w:rsidR="009449DD" w:rsidRPr="00811638" w:rsidTr="001E2003">
        <w:tc>
          <w:tcPr>
            <w:tcW w:w="372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8823FE">
            <w:pPr>
              <w:tabs>
                <w:tab w:val="left" w:pos="7350"/>
              </w:tabs>
              <w:ind w:left="-108" w:right="-108"/>
              <w:jc w:val="center"/>
            </w:pPr>
            <w:r w:rsidRPr="00811638">
              <w:lastRenderedPageBreak/>
              <w:t>1</w:t>
            </w:r>
          </w:p>
        </w:tc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8823FE">
            <w:pPr>
              <w:tabs>
                <w:tab w:val="left" w:pos="7350"/>
              </w:tabs>
              <w:jc w:val="center"/>
            </w:pPr>
            <w:r w:rsidRPr="00811638">
              <w:t>2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8823FE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5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7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8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9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10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449DD" w:rsidRPr="00811638" w:rsidRDefault="009449DD" w:rsidP="00A004A5">
            <w:pPr>
              <w:tabs>
                <w:tab w:val="left" w:pos="7350"/>
              </w:tabs>
              <w:ind w:left="-74" w:right="-108"/>
              <w:jc w:val="center"/>
            </w:pPr>
            <w:r w:rsidRPr="00811638">
              <w:t>11</w:t>
            </w:r>
          </w:p>
        </w:tc>
      </w:tr>
      <w:tr w:rsidR="009449DD" w:rsidRPr="00811638" w:rsidTr="00A004A5">
        <w:tc>
          <w:tcPr>
            <w:tcW w:w="372" w:type="dxa"/>
            <w:vMerge w:val="restart"/>
            <w:shd w:val="clear" w:color="auto" w:fill="auto"/>
          </w:tcPr>
          <w:p w:rsidR="009449DD" w:rsidRPr="00811638" w:rsidRDefault="009449DD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9449DD" w:rsidRPr="00811638" w:rsidRDefault="009449DD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Объем инвестиций в основной капитал за счет всех источников финансирования (по крупным и средним предприятиям и организациям) – всего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449DD" w:rsidRPr="00811638" w:rsidRDefault="009449DD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6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6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6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6" w:type="dxa"/>
            <w:vAlign w:val="center"/>
          </w:tcPr>
          <w:p w:rsidR="009449DD" w:rsidRPr="00811638" w:rsidRDefault="009449DD" w:rsidP="00A004A5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A70D35" w:rsidRPr="00811638" w:rsidTr="00A004A5">
        <w:tc>
          <w:tcPr>
            <w:tcW w:w="372" w:type="dxa"/>
            <w:vMerge/>
            <w:shd w:val="clear" w:color="auto" w:fill="auto"/>
          </w:tcPr>
          <w:p w:rsidR="00A70D35" w:rsidRPr="00811638" w:rsidRDefault="00A70D35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A70D35" w:rsidRPr="00811638" w:rsidRDefault="00A70D35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 - в действующих ценах каждого </w:t>
            </w:r>
            <w:r>
              <w:rPr>
                <w:rFonts w:eastAsia="Calibri"/>
                <w:lang w:eastAsia="en-US"/>
              </w:rPr>
              <w:br/>
              <w:t xml:space="preserve">    </w:t>
            </w:r>
            <w:r w:rsidRPr="008116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70D35" w:rsidRPr="00811638" w:rsidRDefault="00A70D35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15 002,0</w:t>
            </w:r>
          </w:p>
        </w:tc>
        <w:tc>
          <w:tcPr>
            <w:tcW w:w="0" w:type="auto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12 387,7</w:t>
            </w:r>
          </w:p>
        </w:tc>
        <w:tc>
          <w:tcPr>
            <w:tcW w:w="1195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13 787,5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15 402,1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16 049,0</w:t>
            </w:r>
          </w:p>
        </w:tc>
        <w:tc>
          <w:tcPr>
            <w:tcW w:w="1195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17 840,0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19 835,0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21 850,0</w:t>
            </w:r>
          </w:p>
        </w:tc>
      </w:tr>
      <w:tr w:rsidR="00A70D35" w:rsidRPr="00811638" w:rsidTr="00A004A5">
        <w:tc>
          <w:tcPr>
            <w:tcW w:w="372" w:type="dxa"/>
            <w:vMerge/>
            <w:shd w:val="clear" w:color="auto" w:fill="auto"/>
          </w:tcPr>
          <w:p w:rsidR="00A70D35" w:rsidRPr="00811638" w:rsidRDefault="00A70D35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A70D35" w:rsidRPr="00811638" w:rsidRDefault="00A70D35" w:rsidP="00A004A5">
            <w:pPr>
              <w:ind w:right="-101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 xml:space="preserve"> - </w:t>
            </w:r>
            <w:proofErr w:type="gramStart"/>
            <w:r w:rsidRPr="00811638">
              <w:rPr>
                <w:rFonts w:eastAsia="Calibri"/>
                <w:lang w:eastAsia="en-US"/>
              </w:rPr>
              <w:t>в</w:t>
            </w:r>
            <w:proofErr w:type="gramEnd"/>
            <w:r w:rsidRPr="00811638">
              <w:rPr>
                <w:rFonts w:eastAsia="Calibri"/>
                <w:lang w:eastAsia="en-US"/>
              </w:rPr>
              <w:t xml:space="preserve"> % </w:t>
            </w:r>
            <w:proofErr w:type="gramStart"/>
            <w:r w:rsidRPr="00811638">
              <w:rPr>
                <w:rFonts w:eastAsia="Calibri"/>
                <w:lang w:eastAsia="en-US"/>
              </w:rPr>
              <w:t>к</w:t>
            </w:r>
            <w:proofErr w:type="gramEnd"/>
            <w:r w:rsidRPr="00811638">
              <w:rPr>
                <w:rFonts w:eastAsia="Calibri"/>
                <w:lang w:eastAsia="en-US"/>
              </w:rPr>
              <w:t xml:space="preserve"> предыдущему году </w:t>
            </w:r>
            <w:r>
              <w:rPr>
                <w:rFonts w:eastAsia="Calibri"/>
                <w:lang w:eastAsia="en-US"/>
              </w:rPr>
              <w:br/>
              <w:t xml:space="preserve">   </w:t>
            </w:r>
            <w:r w:rsidRPr="00811638">
              <w:rPr>
                <w:rFonts w:eastAsia="Calibri"/>
                <w:lang w:eastAsia="en-US"/>
              </w:rPr>
              <w:t>(в сопоставимых ценах)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70D35" w:rsidRPr="00811638" w:rsidRDefault="00A70D35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96,2</w:t>
            </w:r>
          </w:p>
        </w:tc>
        <w:tc>
          <w:tcPr>
            <w:tcW w:w="0" w:type="auto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77,9</w:t>
            </w:r>
          </w:p>
        </w:tc>
        <w:tc>
          <w:tcPr>
            <w:tcW w:w="1195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106,0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106,9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100,0</w:t>
            </w:r>
          </w:p>
        </w:tc>
        <w:tc>
          <w:tcPr>
            <w:tcW w:w="1195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107,0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107,0</w:t>
            </w:r>
          </w:p>
        </w:tc>
        <w:tc>
          <w:tcPr>
            <w:tcW w:w="1196" w:type="dxa"/>
            <w:vAlign w:val="center"/>
          </w:tcPr>
          <w:p w:rsidR="00A70D35" w:rsidRPr="004F49A6" w:rsidRDefault="00A70D35" w:rsidP="00524C24">
            <w:pPr>
              <w:jc w:val="center"/>
              <w:rPr>
                <w:bCs/>
              </w:rPr>
            </w:pPr>
            <w:r w:rsidRPr="004F49A6">
              <w:rPr>
                <w:bCs/>
              </w:rPr>
              <w:t>106,5</w:t>
            </w:r>
          </w:p>
        </w:tc>
      </w:tr>
      <w:tr w:rsidR="00A70D35" w:rsidRPr="00811638" w:rsidTr="00A004A5">
        <w:tc>
          <w:tcPr>
            <w:tcW w:w="372" w:type="dxa"/>
            <w:shd w:val="clear" w:color="auto" w:fill="auto"/>
          </w:tcPr>
          <w:p w:rsidR="00A70D35" w:rsidRPr="00811638" w:rsidRDefault="00A70D35" w:rsidP="00811638">
            <w:pPr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A70D35" w:rsidRPr="00811638" w:rsidRDefault="00A70D35" w:rsidP="00811638">
            <w:pPr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70D35" w:rsidRPr="00811638" w:rsidRDefault="00A70D35" w:rsidP="00811638">
            <w:pPr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811638"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0" w:type="auto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bCs/>
                <w:iCs/>
                <w:szCs w:val="24"/>
              </w:rPr>
              <w:t>274,2</w:t>
            </w:r>
          </w:p>
        </w:tc>
        <w:tc>
          <w:tcPr>
            <w:tcW w:w="0" w:type="auto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180,0</w:t>
            </w:r>
          </w:p>
        </w:tc>
        <w:tc>
          <w:tcPr>
            <w:tcW w:w="1195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190,0</w:t>
            </w:r>
          </w:p>
        </w:tc>
        <w:tc>
          <w:tcPr>
            <w:tcW w:w="1196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200,0</w:t>
            </w:r>
          </w:p>
        </w:tc>
        <w:tc>
          <w:tcPr>
            <w:tcW w:w="1196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215,0</w:t>
            </w:r>
          </w:p>
        </w:tc>
        <w:tc>
          <w:tcPr>
            <w:tcW w:w="1195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220,0</w:t>
            </w:r>
          </w:p>
        </w:tc>
        <w:tc>
          <w:tcPr>
            <w:tcW w:w="1196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225,0</w:t>
            </w:r>
          </w:p>
        </w:tc>
        <w:tc>
          <w:tcPr>
            <w:tcW w:w="1196" w:type="dxa"/>
            <w:vAlign w:val="center"/>
          </w:tcPr>
          <w:p w:rsidR="00A70D35" w:rsidRPr="00C137AD" w:rsidRDefault="00A70D35" w:rsidP="00524C24">
            <w:pPr>
              <w:pStyle w:val="a8"/>
              <w:jc w:val="center"/>
              <w:rPr>
                <w:szCs w:val="24"/>
              </w:rPr>
            </w:pPr>
            <w:r w:rsidRPr="00C137AD">
              <w:rPr>
                <w:szCs w:val="24"/>
              </w:rPr>
              <w:t>230,0</w:t>
            </w:r>
          </w:p>
        </w:tc>
      </w:tr>
    </w:tbl>
    <w:p w:rsidR="0037029A" w:rsidRDefault="0037029A" w:rsidP="0037029A">
      <w:pPr>
        <w:jc w:val="both"/>
        <w:rPr>
          <w:sz w:val="28"/>
          <w:szCs w:val="28"/>
        </w:rPr>
      </w:pPr>
    </w:p>
    <w:p w:rsidR="00C47418" w:rsidRDefault="008823FE" w:rsidP="008823FE">
      <w:pPr>
        <w:ind w:firstLine="708"/>
        <w:rPr>
          <w:rFonts w:eastAsia="Calibri"/>
          <w:i/>
          <w:lang w:eastAsia="en-US"/>
        </w:rPr>
      </w:pPr>
      <w:r w:rsidRPr="008823FE">
        <w:rPr>
          <w:rFonts w:eastAsia="Calibri"/>
          <w:vertAlign w:val="superscript"/>
          <w:lang w:eastAsia="en-US"/>
        </w:rPr>
        <w:t>*)</w:t>
      </w:r>
      <w:r>
        <w:rPr>
          <w:rFonts w:eastAsia="Calibri"/>
          <w:lang w:eastAsia="en-US"/>
        </w:rPr>
        <w:t xml:space="preserve"> –</w:t>
      </w:r>
      <w:r>
        <w:rPr>
          <w:rFonts w:eastAsia="Calibri"/>
          <w:i/>
          <w:lang w:eastAsia="en-US"/>
        </w:rPr>
        <w:t>показател</w:t>
      </w:r>
      <w:r w:rsidR="000F599E">
        <w:rPr>
          <w:rFonts w:eastAsia="Calibri"/>
          <w:i/>
          <w:lang w:eastAsia="en-US"/>
        </w:rPr>
        <w:t>и</w:t>
      </w:r>
      <w:r w:rsidR="008E6F45">
        <w:rPr>
          <w:rFonts w:eastAsia="Calibri"/>
          <w:i/>
          <w:lang w:eastAsia="en-US"/>
        </w:rPr>
        <w:t>, прогнозируемые</w:t>
      </w:r>
      <w:r>
        <w:rPr>
          <w:rFonts w:eastAsia="Calibri"/>
          <w:i/>
          <w:lang w:eastAsia="en-US"/>
        </w:rPr>
        <w:t xml:space="preserve"> на долгосрочный период</w:t>
      </w:r>
      <w:r w:rsidR="008E6F45">
        <w:rPr>
          <w:rFonts w:eastAsia="Calibri"/>
          <w:i/>
          <w:lang w:eastAsia="en-US"/>
        </w:rPr>
        <w:t xml:space="preserve">, приведены </w:t>
      </w:r>
      <w:r>
        <w:rPr>
          <w:rFonts w:eastAsia="Calibri"/>
          <w:i/>
          <w:lang w:eastAsia="en-US"/>
        </w:rPr>
        <w:t xml:space="preserve">в укрупненных единицах измерения  </w:t>
      </w:r>
    </w:p>
    <w:p w:rsidR="009449DD" w:rsidRDefault="009449DD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8823FE">
      <w:pPr>
        <w:ind w:firstLine="708"/>
        <w:rPr>
          <w:rFonts w:eastAsia="Calibri"/>
          <w:i/>
          <w:lang w:eastAsia="en-US"/>
        </w:rPr>
      </w:pPr>
    </w:p>
    <w:p w:rsidR="000F122C" w:rsidRDefault="000F122C" w:rsidP="000F122C">
      <w:pPr>
        <w:pStyle w:val="Podpis"/>
        <w:ind w:firstLine="708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Pr="003F323E">
        <w:rPr>
          <w:sz w:val="28"/>
          <w:szCs w:val="28"/>
          <w:lang w:eastAsia="en-US"/>
        </w:rPr>
        <w:t>ачальник департамента экономики,</w:t>
      </w: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</w:t>
      </w:r>
    </w:p>
    <w:p w:rsidR="000F122C" w:rsidRPr="000E6542" w:rsidRDefault="000F122C" w:rsidP="000F122C">
      <w:pPr>
        <w:ind w:firstLine="708"/>
        <w:rPr>
          <w:sz w:val="28"/>
          <w:szCs w:val="28"/>
        </w:rPr>
      </w:pPr>
      <w:r w:rsidRPr="003F323E">
        <w:rPr>
          <w:sz w:val="28"/>
          <w:szCs w:val="28"/>
          <w:lang w:eastAsia="en-US"/>
        </w:rPr>
        <w:t>ин</w:t>
      </w:r>
      <w:r>
        <w:rPr>
          <w:sz w:val="28"/>
          <w:szCs w:val="28"/>
          <w:lang w:eastAsia="en-US"/>
        </w:rPr>
        <w:t>вестиций и промышленной политики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 В. </w:t>
      </w:r>
      <w:proofErr w:type="gramStart"/>
      <w:r>
        <w:rPr>
          <w:sz w:val="28"/>
          <w:szCs w:val="28"/>
        </w:rPr>
        <w:t>Гаврилин</w:t>
      </w:r>
      <w:proofErr w:type="gramEnd"/>
    </w:p>
    <w:p w:rsidR="009449DD" w:rsidRPr="008823FE" w:rsidRDefault="009449DD" w:rsidP="008823FE">
      <w:pPr>
        <w:ind w:firstLine="708"/>
        <w:rPr>
          <w:i/>
        </w:rPr>
      </w:pPr>
    </w:p>
    <w:sectPr w:rsidR="009449DD" w:rsidRPr="008823FE" w:rsidSect="0081163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07" w:rsidRDefault="00610207" w:rsidP="00811638">
      <w:r>
        <w:separator/>
      </w:r>
    </w:p>
  </w:endnote>
  <w:endnote w:type="continuationSeparator" w:id="0">
    <w:p w:rsidR="00610207" w:rsidRDefault="00610207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07" w:rsidRDefault="00610207" w:rsidP="00811638">
      <w:r>
        <w:separator/>
      </w:r>
    </w:p>
  </w:footnote>
  <w:footnote w:type="continuationSeparator" w:id="0">
    <w:p w:rsidR="00610207" w:rsidRDefault="00610207" w:rsidP="0081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228A1"/>
    <w:rsid w:val="0007615F"/>
    <w:rsid w:val="000C70F4"/>
    <w:rsid w:val="000E0967"/>
    <w:rsid w:val="000E1D64"/>
    <w:rsid w:val="000F00F8"/>
    <w:rsid w:val="000F122C"/>
    <w:rsid w:val="000F599E"/>
    <w:rsid w:val="001E2003"/>
    <w:rsid w:val="00231F29"/>
    <w:rsid w:val="002376E6"/>
    <w:rsid w:val="002418FD"/>
    <w:rsid w:val="0026034F"/>
    <w:rsid w:val="002627C4"/>
    <w:rsid w:val="00286EAB"/>
    <w:rsid w:val="00287A10"/>
    <w:rsid w:val="002C15A2"/>
    <w:rsid w:val="002E2C04"/>
    <w:rsid w:val="00304410"/>
    <w:rsid w:val="00326C92"/>
    <w:rsid w:val="00337551"/>
    <w:rsid w:val="0037029A"/>
    <w:rsid w:val="003F3886"/>
    <w:rsid w:val="004553D0"/>
    <w:rsid w:val="004F2EB9"/>
    <w:rsid w:val="00546C2A"/>
    <w:rsid w:val="005C4637"/>
    <w:rsid w:val="00610207"/>
    <w:rsid w:val="00643F0A"/>
    <w:rsid w:val="006A2236"/>
    <w:rsid w:val="006A334F"/>
    <w:rsid w:val="006A729C"/>
    <w:rsid w:val="006F08BD"/>
    <w:rsid w:val="007832B6"/>
    <w:rsid w:val="00811638"/>
    <w:rsid w:val="0082318C"/>
    <w:rsid w:val="00834228"/>
    <w:rsid w:val="00880325"/>
    <w:rsid w:val="008823FE"/>
    <w:rsid w:val="008C0440"/>
    <w:rsid w:val="008E6F45"/>
    <w:rsid w:val="008E72FC"/>
    <w:rsid w:val="009449DD"/>
    <w:rsid w:val="009554EC"/>
    <w:rsid w:val="00957579"/>
    <w:rsid w:val="00964C39"/>
    <w:rsid w:val="00976FA2"/>
    <w:rsid w:val="009855B2"/>
    <w:rsid w:val="00A004A5"/>
    <w:rsid w:val="00A50883"/>
    <w:rsid w:val="00A70D35"/>
    <w:rsid w:val="00BA41A8"/>
    <w:rsid w:val="00BB725D"/>
    <w:rsid w:val="00C47418"/>
    <w:rsid w:val="00C70DF4"/>
    <w:rsid w:val="00D54AC5"/>
    <w:rsid w:val="00D61503"/>
    <w:rsid w:val="00D73AF4"/>
    <w:rsid w:val="00DB6E8C"/>
    <w:rsid w:val="00DC6D2A"/>
    <w:rsid w:val="00DD49DD"/>
    <w:rsid w:val="00EE50D9"/>
    <w:rsid w:val="00F72B09"/>
    <w:rsid w:val="00FD232E"/>
    <w:rsid w:val="00FD500C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Екатерина И. Ким</cp:lastModifiedBy>
  <cp:revision>2</cp:revision>
  <cp:lastPrinted>2016-10-27T08:24:00Z</cp:lastPrinted>
  <dcterms:created xsi:type="dcterms:W3CDTF">2016-10-28T13:14:00Z</dcterms:created>
  <dcterms:modified xsi:type="dcterms:W3CDTF">2016-10-28T13:14:00Z</dcterms:modified>
</cp:coreProperties>
</file>